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02A" w:rsidRDefault="0064502A" w:rsidP="0064502A">
      <w:pPr>
        <w:rPr>
          <w:rFonts w:ascii="Times New Roman" w:eastAsia="Times New Roman" w:hAnsi="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EB1BC27" wp14:editId="338C04C0">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502A" w:rsidRDefault="0064502A" w:rsidP="0064502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4502A" w:rsidRDefault="0064502A" w:rsidP="0064502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4502A" w:rsidRDefault="0064502A" w:rsidP="0064502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4502A" w:rsidRDefault="0064502A" w:rsidP="0064502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4502A" w:rsidRDefault="0064502A" w:rsidP="0064502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4502A" w:rsidRDefault="0064502A" w:rsidP="0064502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1D9F18D6" wp14:editId="7B889079">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64502A" w:rsidRPr="00421A2C" w:rsidRDefault="0064502A" w:rsidP="0064502A">
      <w:pPr>
        <w:spacing w:line="240" w:lineRule="auto"/>
        <w:jc w:val="both"/>
        <w:rPr>
          <w:rFonts w:ascii="Times New Roman" w:hAnsi="Times New Roman"/>
          <w:i/>
          <w:sz w:val="25"/>
          <w:szCs w:val="25"/>
          <w:u w:val="single"/>
          <w:lang w:val="uk-UA"/>
        </w:rPr>
      </w:pPr>
      <w:bookmarkStart w:id="1" w:name="_GoBack"/>
      <w:r w:rsidRPr="00421A2C">
        <w:rPr>
          <w:rFonts w:ascii="Times New Roman" w:hAnsi="Times New Roman"/>
          <w:i/>
          <w:sz w:val="25"/>
          <w:szCs w:val="25"/>
          <w:u w:val="single"/>
          <w:lang w:val="uk-UA"/>
        </w:rPr>
        <w:t>Які документи необхідно подати платнику податку для реалізації права на податкову знижку в частині сум витрат на сплату страхових платежів та пенсійних внесків, сплачених за договорами довгострокового страхування життя, недержавного пенсійного забезпечення?</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 Відповідно до ст. 166 Податкового кодексу України від 02 грудня 2010 року № 2755-VI із змінами та доповненнями (далі – ПКУ) платник податку на доходи фізичних осіб має право на податкову знижку у зменшення оподатковуваного доходу платника податку за наслідками звітного податкового року.</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 xml:space="preserve">Перелік витрат, дозволених до включення до податкової знижки, визначено п. 166.3 ст. 166 ПКУ, </w:t>
      </w:r>
      <w:proofErr w:type="spellStart"/>
      <w:r w:rsidRPr="00421A2C">
        <w:rPr>
          <w:rFonts w:ascii="Times New Roman" w:hAnsi="Times New Roman"/>
          <w:sz w:val="25"/>
          <w:szCs w:val="25"/>
          <w:lang w:val="uk-UA"/>
        </w:rPr>
        <w:t>п.п</w:t>
      </w:r>
      <w:proofErr w:type="spellEnd"/>
      <w:r w:rsidRPr="00421A2C">
        <w:rPr>
          <w:rFonts w:ascii="Times New Roman" w:hAnsi="Times New Roman"/>
          <w:sz w:val="25"/>
          <w:szCs w:val="25"/>
          <w:lang w:val="uk-UA"/>
        </w:rPr>
        <w:t xml:space="preserve">. 166.3.5 якого встановлено, що платник податку має право включити до податкової знижки у зменшення оподатковуваного доходу платника податку за наслідками звітного податкового року, нарахованого у вигляді заробітної плати, зменшеного з урахуванням положень п. 164.6 ст. 164 ПКУ, суму фактично здійснених ним протягом звітного податкового року витрат на сплату страхових платежів (страхових внесків, страхових премій) та пенсійних внесків, сплачених платником податку страховику-резиденту, недержавному пенсійному фонду, банківській установі за договорами довгострокового страхування життя, недержавного пенсійного забезпечення, за пенсійним контрактом з недержавним пенсійним фондом, а також внесків на банківський пенсійний депозитний рахунок, на пенсійні вклади та рахунки учасників фондів банківського управління як такого платника податку, так і членів його сім’ї першого ступеня споріднення, які не перевищують (у розрахунку за кожний з повних чи неповних місяців звітного податкового року, протягом яких діяв договір страхування): </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 xml:space="preserve">а) при страхуванні платника податку або за пенсійним контрактом з недержавним пенсійним фондом платника податку, або на банківський пенсійний депозитний рахунок, пенсійний вклад, рахунок учасника фонду банківського управління чи за їх сукупністю – суму, визначену в абзаці першому </w:t>
      </w:r>
      <w:proofErr w:type="spellStart"/>
      <w:r w:rsidRPr="00421A2C">
        <w:rPr>
          <w:rFonts w:ascii="Times New Roman" w:hAnsi="Times New Roman"/>
          <w:sz w:val="25"/>
          <w:szCs w:val="25"/>
          <w:lang w:val="uk-UA"/>
        </w:rPr>
        <w:t>п.п</w:t>
      </w:r>
      <w:proofErr w:type="spellEnd"/>
      <w:r w:rsidRPr="00421A2C">
        <w:rPr>
          <w:rFonts w:ascii="Times New Roman" w:hAnsi="Times New Roman"/>
          <w:sz w:val="25"/>
          <w:szCs w:val="25"/>
          <w:lang w:val="uk-UA"/>
        </w:rPr>
        <w:t>. 169.4.1 п. 169.4 ст. 169 ПКУ (сума, що дорівнює розміру місячного прожиткового мінімуму, діючого для працездатної особи на 1 січня звітного податкового року, помноженого на 1,4 та округленого до найближчих 10 гривень);</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 xml:space="preserve">б) при страхуванні члена сім’ї платника податку першого ступеня споріднення або за пенсійним контрактом з недержавним пенсійним фондом, або на банківський пенсійний депозитний рахунок, пенсійний вклад, рахунок учасника фонду банківського управління на користь такого члена сім’ї чи за їх сукупністю – 50 </w:t>
      </w:r>
      <w:proofErr w:type="spellStart"/>
      <w:r w:rsidRPr="00421A2C">
        <w:rPr>
          <w:rFonts w:ascii="Times New Roman" w:hAnsi="Times New Roman"/>
          <w:sz w:val="25"/>
          <w:szCs w:val="25"/>
          <w:lang w:val="uk-UA"/>
        </w:rPr>
        <w:t>відс</w:t>
      </w:r>
      <w:proofErr w:type="spellEnd"/>
      <w:r w:rsidRPr="00421A2C">
        <w:rPr>
          <w:rFonts w:ascii="Times New Roman" w:hAnsi="Times New Roman"/>
          <w:sz w:val="25"/>
          <w:szCs w:val="25"/>
          <w:lang w:val="uk-UA"/>
        </w:rPr>
        <w:t xml:space="preserve">. суми, визначеної в абзаці першому </w:t>
      </w:r>
      <w:proofErr w:type="spellStart"/>
      <w:r w:rsidRPr="00421A2C">
        <w:rPr>
          <w:rFonts w:ascii="Times New Roman" w:hAnsi="Times New Roman"/>
          <w:sz w:val="25"/>
          <w:szCs w:val="25"/>
          <w:lang w:val="uk-UA"/>
        </w:rPr>
        <w:t>п.п</w:t>
      </w:r>
      <w:proofErr w:type="spellEnd"/>
      <w:r w:rsidRPr="00421A2C">
        <w:rPr>
          <w:rFonts w:ascii="Times New Roman" w:hAnsi="Times New Roman"/>
          <w:sz w:val="25"/>
          <w:szCs w:val="25"/>
          <w:lang w:val="uk-UA"/>
        </w:rPr>
        <w:t>. 169.4.1 п. 169.4 ст. 169 ПКУ, в розрахунку на кожного застрахованого члена сім’ї.</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Підстави для нарахування податкової знижки із зазначенням конкретних сум відображаються платником податку у річній податковій декларації про майновий стан і доходи (далі – податкова декларація), яка подається по 31 грудня включно наступного за звітним податкового року (</w:t>
      </w:r>
      <w:proofErr w:type="spellStart"/>
      <w:r w:rsidRPr="00421A2C">
        <w:rPr>
          <w:rFonts w:ascii="Times New Roman" w:hAnsi="Times New Roman"/>
          <w:sz w:val="25"/>
          <w:szCs w:val="25"/>
          <w:lang w:val="uk-UA"/>
        </w:rPr>
        <w:t>п.п</w:t>
      </w:r>
      <w:proofErr w:type="spellEnd"/>
      <w:r w:rsidRPr="00421A2C">
        <w:rPr>
          <w:rFonts w:ascii="Times New Roman" w:hAnsi="Times New Roman"/>
          <w:sz w:val="25"/>
          <w:szCs w:val="25"/>
          <w:lang w:val="uk-UA"/>
        </w:rPr>
        <w:t>. 166.1.2 п. 166.1 ст. 166 ПКУ).</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 xml:space="preserve">До податкової знижки включаються фактично здійснені протягом звітного податкового року платником податку витрати, підтверджені відповідними платіжними та розрахунковими документами, зокрема, квитанціями, фіскальними бо товарними чеками, прибутковими касовим ордерами, що ідентифікують продавця товарів (робіт, послуг) і </w:t>
      </w:r>
      <w:r w:rsidRPr="00421A2C">
        <w:rPr>
          <w:rFonts w:ascii="Times New Roman" w:hAnsi="Times New Roman"/>
          <w:sz w:val="25"/>
          <w:szCs w:val="25"/>
          <w:lang w:val="uk-UA"/>
        </w:rPr>
        <w:lastRenderedPageBreak/>
        <w:t>особу, яка звертається за податковою знижкою (їх покупця (отримувача)), а також копіями договорів за їх наявності в яких обов’язково повинно бути відображено вартість таких товарів (робіт, послуг) і строк оплати за такі товари (роботи, послуги) (</w:t>
      </w:r>
      <w:proofErr w:type="spellStart"/>
      <w:r w:rsidRPr="00421A2C">
        <w:rPr>
          <w:rFonts w:ascii="Times New Roman" w:hAnsi="Times New Roman"/>
          <w:sz w:val="25"/>
          <w:szCs w:val="25"/>
          <w:lang w:val="uk-UA"/>
        </w:rPr>
        <w:t>п.п</w:t>
      </w:r>
      <w:proofErr w:type="spellEnd"/>
      <w:r w:rsidRPr="00421A2C">
        <w:rPr>
          <w:rFonts w:ascii="Times New Roman" w:hAnsi="Times New Roman"/>
          <w:sz w:val="25"/>
          <w:szCs w:val="25"/>
          <w:lang w:val="uk-UA"/>
        </w:rPr>
        <w:t>. 166.2.1 п. 166.2 ст. 166 ПКУ).</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 xml:space="preserve">Підпунктом 166.2.2 п. 166.2 ст. 166 ПКУ визначено, що копії зазначених у </w:t>
      </w:r>
      <w:proofErr w:type="spellStart"/>
      <w:r w:rsidRPr="00421A2C">
        <w:rPr>
          <w:rFonts w:ascii="Times New Roman" w:hAnsi="Times New Roman"/>
          <w:sz w:val="25"/>
          <w:szCs w:val="25"/>
          <w:lang w:val="uk-UA"/>
        </w:rPr>
        <w:t>п.п</w:t>
      </w:r>
      <w:proofErr w:type="spellEnd"/>
      <w:r w:rsidRPr="00421A2C">
        <w:rPr>
          <w:rFonts w:ascii="Times New Roman" w:hAnsi="Times New Roman"/>
          <w:sz w:val="25"/>
          <w:szCs w:val="25"/>
          <w:lang w:val="uk-UA"/>
        </w:rPr>
        <w:t>. 166.2.1 п. 166.2 ст. 166 ПКУ документів (крім електронних розрахункових документів) надаються разом з податковою декларацією, а оригінали цих документів не надсилаються контролюючому органу, але підлягають зберіганню платником податку протягом строку давності, встановленого ПКУ.</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У разі якщо відповідні витрати підтверджені електронним розрахунковим документом, платник податків зазначає в податковій декларації лише реквізити електронного розрахункового документа.</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 xml:space="preserve">Відповідно до </w:t>
      </w:r>
      <w:proofErr w:type="spellStart"/>
      <w:r w:rsidRPr="00421A2C">
        <w:rPr>
          <w:rFonts w:ascii="Times New Roman" w:hAnsi="Times New Roman"/>
          <w:sz w:val="25"/>
          <w:szCs w:val="25"/>
          <w:lang w:val="uk-UA"/>
        </w:rPr>
        <w:t>п.п</w:t>
      </w:r>
      <w:proofErr w:type="spellEnd"/>
      <w:r w:rsidRPr="00421A2C">
        <w:rPr>
          <w:rFonts w:ascii="Times New Roman" w:hAnsi="Times New Roman"/>
          <w:sz w:val="25"/>
          <w:szCs w:val="25"/>
          <w:lang w:val="uk-UA"/>
        </w:rPr>
        <w:t>. 166.2.3 п. 166.2 ст. 166 ПКУ для документального підтвердження витрат, що включаються до податкової знижки, контролюючий орган не має права вимагати від платника податку надання інформації, документів та/або їх копій, які містяться в автоматизованих інформаційних і довідкових системах, реєстрах, банках (базах) даних органів державної влади, інформація з яких безоплатно отримується контролюючими органами відповідно до ПКУ.</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Статтею 981 Цивільного кодексу України від 16 січня 2003 року № 435-IV із змінами та доповненнями визначено форму договору страхування. Договір укладається в письмовій формі. Договір страхування може укладатись шляхом видачі страховиком страхувальникові страхового свідоцтва (поліса, сертифіката).</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У разі недодержання письмової форми договору страхування такий договір є нікчемним.</w:t>
      </w:r>
    </w:p>
    <w:p w:rsidR="0064502A" w:rsidRPr="00421A2C" w:rsidRDefault="0064502A" w:rsidP="0064502A">
      <w:pPr>
        <w:spacing w:after="0" w:line="240" w:lineRule="auto"/>
        <w:ind w:firstLine="567"/>
        <w:jc w:val="both"/>
        <w:rPr>
          <w:rFonts w:ascii="Times New Roman" w:hAnsi="Times New Roman"/>
          <w:sz w:val="25"/>
          <w:szCs w:val="25"/>
          <w:lang w:val="uk-UA"/>
        </w:rPr>
      </w:pPr>
      <w:r w:rsidRPr="00421A2C">
        <w:rPr>
          <w:rFonts w:ascii="Times New Roman" w:hAnsi="Times New Roman"/>
          <w:sz w:val="25"/>
          <w:szCs w:val="25"/>
          <w:lang w:val="uk-UA"/>
        </w:rPr>
        <w:t>Статтею 1 Закону України від 09 липня 2003 року № 1057-IV «Про недержавне пенсійне забезпечення» із змінами та доповненнями (далі – Закон № 1057) визначено, що учасником недержавного пенсійного забезпечення є фізична особа, на користь якої сплачуються (сплачувалися) пенсійні внески до пенсійного фонду або на пенсійний депозитний рахунок у банку і яка має право на недержавне пенсійне забезпечення на умовах і в порядку, визначених пенсійним контрактом, договором про відкриття пенсійного депозитного рахунка або договором страхування довічної пенсії та Законом № 1057, або яка отримує пенсійні виплати із пенсійного фонду.</w:t>
      </w:r>
      <w:r w:rsidRPr="00421A2C">
        <w:rPr>
          <w:rFonts w:ascii="Times New Roman" w:hAnsi="Times New Roman"/>
          <w:sz w:val="25"/>
          <w:szCs w:val="25"/>
          <w:lang w:val="uk-UA"/>
        </w:rPr>
        <w:br/>
        <w:t>     Отже, до податкової знижки включаються фактично здійснені протягом звітного податкового року платником податку витрати, підтверджені відповідними платіжними та розрахунковими документами, зокрема, квитанціями, фіскальними або товарними чеками, прибутковими касовими ордерами, що ідентифікують продавця товарів (робіт, послуг) і особу, яка звертається за податковою знижкою (їх покупця (отримувача)), а також копіями договорів в яких обов’язково повинно бути відображено вартість таких товарів (робіт, послуг) і строк оплати за такі товари (роботи, послуги).</w:t>
      </w:r>
      <w:r w:rsidRPr="00421A2C">
        <w:rPr>
          <w:rFonts w:ascii="Times New Roman" w:hAnsi="Times New Roman"/>
          <w:sz w:val="25"/>
          <w:szCs w:val="25"/>
          <w:lang w:val="uk-UA"/>
        </w:rPr>
        <w:br/>
        <w:t>     У зазначених документах обов’язково повинні бути відображені сума сплачених страхових та пенсійних внесків, дата сплати, прізвище платника, реквізити договору згідно з яким здійснюється така плата, відповідний договір (договір довгострокового страхування життя, договір (договір довгострокового страхування життя, договір недержавного пенсійного забезпечення, пенсійний контракт з недержавним пенсійним фондом тощо).</w:t>
      </w:r>
    </w:p>
    <w:p w:rsidR="0064502A" w:rsidRPr="00421A2C" w:rsidRDefault="0064502A" w:rsidP="0064502A">
      <w:pPr>
        <w:ind w:firstLine="567"/>
        <w:rPr>
          <w:rStyle w:val="z-label"/>
          <w:rFonts w:ascii="Times New Roman" w:hAnsi="Times New Roman"/>
          <w:sz w:val="25"/>
          <w:szCs w:val="25"/>
        </w:rPr>
      </w:pPr>
      <w:r w:rsidRPr="00421A2C">
        <w:rPr>
          <w:rFonts w:ascii="Times New Roman" w:hAnsi="Times New Roman"/>
          <w:color w:val="333333"/>
          <w:sz w:val="25"/>
          <w:szCs w:val="25"/>
          <w:shd w:val="clear" w:color="auto" w:fill="FFFFFF"/>
        </w:rPr>
        <w:t xml:space="preserve">За </w:t>
      </w:r>
      <w:proofErr w:type="spellStart"/>
      <w:r w:rsidRPr="00421A2C">
        <w:rPr>
          <w:rFonts w:ascii="Times New Roman" w:hAnsi="Times New Roman"/>
          <w:color w:val="333333"/>
          <w:sz w:val="25"/>
          <w:szCs w:val="25"/>
          <w:shd w:val="clear" w:color="auto" w:fill="FFFFFF"/>
        </w:rPr>
        <w:t>інформацією</w:t>
      </w:r>
      <w:proofErr w:type="spellEnd"/>
      <w:r w:rsidRPr="00421A2C">
        <w:rPr>
          <w:rFonts w:ascii="Times New Roman" w:hAnsi="Times New Roman"/>
          <w:color w:val="333333"/>
          <w:sz w:val="25"/>
          <w:szCs w:val="25"/>
          <w:shd w:val="clear" w:color="auto" w:fill="FFFFFF"/>
        </w:rPr>
        <w:t xml:space="preserve"> </w:t>
      </w:r>
      <w:proofErr w:type="spellStart"/>
      <w:r w:rsidRPr="00421A2C">
        <w:rPr>
          <w:rFonts w:ascii="Times New Roman" w:hAnsi="Times New Roman"/>
          <w:color w:val="333333"/>
          <w:sz w:val="25"/>
          <w:szCs w:val="25"/>
          <w:shd w:val="clear" w:color="auto" w:fill="FFFFFF"/>
        </w:rPr>
        <w:t>загальнодоступного</w:t>
      </w:r>
      <w:proofErr w:type="spellEnd"/>
      <w:r w:rsidRPr="00421A2C">
        <w:rPr>
          <w:rFonts w:ascii="Times New Roman" w:hAnsi="Times New Roman"/>
          <w:color w:val="333333"/>
          <w:sz w:val="25"/>
          <w:szCs w:val="25"/>
          <w:shd w:val="clear" w:color="auto" w:fill="FFFFFF"/>
        </w:rPr>
        <w:t xml:space="preserve"> </w:t>
      </w:r>
      <w:proofErr w:type="spellStart"/>
      <w:r w:rsidRPr="00421A2C">
        <w:rPr>
          <w:rFonts w:ascii="Times New Roman" w:hAnsi="Times New Roman"/>
          <w:color w:val="333333"/>
          <w:sz w:val="25"/>
          <w:szCs w:val="25"/>
          <w:shd w:val="clear" w:color="auto" w:fill="FFFFFF"/>
        </w:rPr>
        <w:t>інформаційно-довідкового</w:t>
      </w:r>
      <w:proofErr w:type="spellEnd"/>
      <w:r w:rsidRPr="00421A2C">
        <w:rPr>
          <w:rFonts w:ascii="Times New Roman" w:hAnsi="Times New Roman"/>
          <w:color w:val="333333"/>
          <w:sz w:val="25"/>
          <w:szCs w:val="25"/>
          <w:shd w:val="clear" w:color="auto" w:fill="FFFFFF"/>
        </w:rPr>
        <w:t xml:space="preserve"> ресурсу.</w:t>
      </w:r>
    </w:p>
    <w:bookmarkEnd w:id="1"/>
    <w:p w:rsidR="0064502A" w:rsidRPr="00D92C16" w:rsidRDefault="0064502A" w:rsidP="0064502A">
      <w:pPr>
        <w:spacing w:after="0" w:line="240" w:lineRule="auto"/>
        <w:rPr>
          <w:rFonts w:ascii="Times New Roman" w:hAnsi="Times New Roman"/>
          <w:sz w:val="28"/>
          <w:szCs w:val="28"/>
        </w:rPr>
      </w:pPr>
    </w:p>
    <w:p w:rsidR="0064502A" w:rsidRPr="00EA716F" w:rsidRDefault="0064502A" w:rsidP="0064502A">
      <w:pPr>
        <w:spacing w:after="0" w:line="240" w:lineRule="auto"/>
        <w:jc w:val="both"/>
        <w:rPr>
          <w:rFonts w:ascii="Times New Roman" w:hAnsi="Times New Roman"/>
          <w:sz w:val="20"/>
          <w:szCs w:val="20"/>
        </w:rPr>
      </w:pPr>
      <w:r w:rsidRPr="00EA716F">
        <w:rPr>
          <w:rFonts w:ascii="Times New Roman" w:hAnsi="Times New Roman"/>
          <w:sz w:val="20"/>
          <w:szCs w:val="20"/>
        </w:rPr>
        <w:t xml:space="preserve">18002, м. </w:t>
      </w:r>
      <w:proofErr w:type="spellStart"/>
      <w:r w:rsidRPr="00EA716F">
        <w:rPr>
          <w:rFonts w:ascii="Times New Roman" w:hAnsi="Times New Roman"/>
          <w:sz w:val="20"/>
          <w:szCs w:val="20"/>
        </w:rPr>
        <w:t>Черкаси</w:t>
      </w:r>
      <w:proofErr w:type="spellEnd"/>
      <w:r w:rsidRPr="00EA716F">
        <w:rPr>
          <w:rFonts w:ascii="Times New Roman" w:hAnsi="Times New Roman"/>
          <w:sz w:val="20"/>
          <w:szCs w:val="20"/>
        </w:rPr>
        <w:t xml:space="preserve">, </w:t>
      </w:r>
      <w:proofErr w:type="spellStart"/>
      <w:r w:rsidRPr="00EA716F">
        <w:rPr>
          <w:rFonts w:ascii="Times New Roman" w:hAnsi="Times New Roman"/>
          <w:sz w:val="20"/>
          <w:szCs w:val="20"/>
        </w:rPr>
        <w:t>вул</w:t>
      </w:r>
      <w:proofErr w:type="spellEnd"/>
      <w:r w:rsidRPr="00EA716F">
        <w:rPr>
          <w:rFonts w:ascii="Times New Roman" w:hAnsi="Times New Roman"/>
          <w:sz w:val="20"/>
          <w:szCs w:val="20"/>
        </w:rPr>
        <w:t xml:space="preserve">. Хрещатик,235                                           </w:t>
      </w:r>
      <w:r w:rsidRPr="00EA716F">
        <w:rPr>
          <w:rFonts w:ascii="Times New Roman" w:hAnsi="Times New Roman"/>
          <w:sz w:val="20"/>
          <w:szCs w:val="20"/>
          <w:lang w:val="en-US"/>
        </w:rPr>
        <w:t>e</w:t>
      </w:r>
      <w:r w:rsidRPr="00EA716F">
        <w:rPr>
          <w:rFonts w:ascii="Times New Roman" w:hAnsi="Times New Roman"/>
          <w:sz w:val="20"/>
          <w:szCs w:val="20"/>
        </w:rPr>
        <w:t>-</w:t>
      </w:r>
      <w:r w:rsidRPr="00EA716F">
        <w:rPr>
          <w:rFonts w:ascii="Times New Roman" w:hAnsi="Times New Roman"/>
          <w:sz w:val="20"/>
          <w:szCs w:val="20"/>
          <w:lang w:val="en-US"/>
        </w:rPr>
        <w:t>mail</w:t>
      </w:r>
      <w:r w:rsidRPr="00EA716F">
        <w:rPr>
          <w:rFonts w:ascii="Times New Roman" w:hAnsi="Times New Roman"/>
          <w:sz w:val="20"/>
          <w:szCs w:val="20"/>
        </w:rPr>
        <w:t xml:space="preserve">: </w:t>
      </w:r>
      <w:hyperlink r:id="rId6" w:history="1">
        <w:r w:rsidRPr="00EA716F">
          <w:rPr>
            <w:rStyle w:val="a5"/>
            <w:rFonts w:ascii="Times New Roman" w:hAnsi="Times New Roman"/>
            <w:sz w:val="20"/>
            <w:szCs w:val="20"/>
            <w:lang w:val="en-US"/>
          </w:rPr>
          <w:t>ck</w:t>
        </w:r>
        <w:r w:rsidRPr="00EA716F">
          <w:rPr>
            <w:rStyle w:val="a5"/>
            <w:rFonts w:ascii="Times New Roman" w:hAnsi="Times New Roman"/>
            <w:sz w:val="20"/>
            <w:szCs w:val="20"/>
          </w:rPr>
          <w:t>.</w:t>
        </w:r>
        <w:r w:rsidRPr="00EA716F">
          <w:rPr>
            <w:rStyle w:val="a5"/>
            <w:rFonts w:ascii="Times New Roman" w:hAnsi="Times New Roman"/>
            <w:sz w:val="20"/>
            <w:szCs w:val="20"/>
            <w:lang w:val="en-US"/>
          </w:rPr>
          <w:t>zmi</w:t>
        </w:r>
        <w:r w:rsidRPr="00EA716F">
          <w:rPr>
            <w:rStyle w:val="a5"/>
            <w:rFonts w:ascii="Times New Roman" w:hAnsi="Times New Roman"/>
            <w:sz w:val="20"/>
            <w:szCs w:val="20"/>
          </w:rPr>
          <w:t>@</w:t>
        </w:r>
        <w:r w:rsidRPr="00EA716F">
          <w:rPr>
            <w:rStyle w:val="a5"/>
            <w:rFonts w:ascii="Times New Roman" w:hAnsi="Times New Roman"/>
            <w:sz w:val="20"/>
            <w:szCs w:val="20"/>
            <w:lang w:val="en-US"/>
          </w:rPr>
          <w:t>tax</w:t>
        </w:r>
        <w:r w:rsidRPr="00EA716F">
          <w:rPr>
            <w:rStyle w:val="a5"/>
            <w:rFonts w:ascii="Times New Roman" w:hAnsi="Times New Roman"/>
            <w:sz w:val="20"/>
            <w:szCs w:val="20"/>
          </w:rPr>
          <w:t>.</w:t>
        </w:r>
        <w:r w:rsidRPr="00EA716F">
          <w:rPr>
            <w:rStyle w:val="a5"/>
            <w:rFonts w:ascii="Times New Roman" w:hAnsi="Times New Roman"/>
            <w:sz w:val="20"/>
            <w:szCs w:val="20"/>
            <w:lang w:val="en-US"/>
          </w:rPr>
          <w:t>gov</w:t>
        </w:r>
        <w:r w:rsidRPr="00EA716F">
          <w:rPr>
            <w:rStyle w:val="a5"/>
            <w:rFonts w:ascii="Times New Roman" w:hAnsi="Times New Roman"/>
            <w:sz w:val="20"/>
            <w:szCs w:val="20"/>
          </w:rPr>
          <w:t>.</w:t>
        </w:r>
        <w:proofErr w:type="spellStart"/>
        <w:r w:rsidRPr="00EA716F">
          <w:rPr>
            <w:rStyle w:val="a5"/>
            <w:rFonts w:ascii="Times New Roman" w:hAnsi="Times New Roman"/>
            <w:sz w:val="20"/>
            <w:szCs w:val="20"/>
            <w:lang w:val="en-US"/>
          </w:rPr>
          <w:t>ua</w:t>
        </w:r>
        <w:proofErr w:type="spellEnd"/>
      </w:hyperlink>
    </w:p>
    <w:p w:rsidR="00392635" w:rsidRPr="0064502A" w:rsidRDefault="0064502A" w:rsidP="0064502A">
      <w:pPr>
        <w:spacing w:after="0" w:line="240" w:lineRule="auto"/>
        <w:jc w:val="both"/>
        <w:rPr>
          <w:rFonts w:ascii="Times New Roman" w:hAnsi="Times New Roman"/>
          <w:sz w:val="28"/>
          <w:szCs w:val="28"/>
        </w:rPr>
      </w:pPr>
      <w:r w:rsidRPr="00EA716F">
        <w:rPr>
          <w:rFonts w:ascii="Times New Roman" w:hAnsi="Times New Roman"/>
          <w:sz w:val="20"/>
          <w:szCs w:val="20"/>
        </w:rPr>
        <w:t xml:space="preserve">тел.(0472) 33-91-34                                                                           </w:t>
      </w:r>
      <w:hyperlink r:id="rId7" w:history="1">
        <w:r w:rsidRPr="00EA716F">
          <w:rPr>
            <w:rStyle w:val="a5"/>
            <w:rFonts w:ascii="Times New Roman" w:hAnsi="Times New Roman"/>
            <w:sz w:val="20"/>
            <w:szCs w:val="20"/>
          </w:rPr>
          <w:t>https://ck.tax.gov.ua/</w:t>
        </w:r>
      </w:hyperlink>
    </w:p>
    <w:sectPr w:rsidR="00392635" w:rsidRPr="0064502A"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2A"/>
    <w:rsid w:val="00392635"/>
    <w:rsid w:val="00421A2C"/>
    <w:rsid w:val="0045740B"/>
    <w:rsid w:val="006450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02A"/>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50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502A"/>
    <w:rPr>
      <w:rFonts w:ascii="Tahoma" w:eastAsia="Calibri" w:hAnsi="Tahoma" w:cs="Tahoma"/>
      <w:sz w:val="16"/>
      <w:szCs w:val="16"/>
      <w:lang w:val="ru-RU"/>
    </w:rPr>
  </w:style>
  <w:style w:type="character" w:customStyle="1" w:styleId="z-label">
    <w:name w:val="z-label"/>
    <w:basedOn w:val="a0"/>
    <w:rsid w:val="0064502A"/>
  </w:style>
  <w:style w:type="character" w:styleId="a5">
    <w:name w:val="Hyperlink"/>
    <w:uiPriority w:val="99"/>
    <w:rsid w:val="006450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02A"/>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50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502A"/>
    <w:rPr>
      <w:rFonts w:ascii="Tahoma" w:eastAsia="Calibri" w:hAnsi="Tahoma" w:cs="Tahoma"/>
      <w:sz w:val="16"/>
      <w:szCs w:val="16"/>
      <w:lang w:val="ru-RU"/>
    </w:rPr>
  </w:style>
  <w:style w:type="character" w:customStyle="1" w:styleId="z-label">
    <w:name w:val="z-label"/>
    <w:basedOn w:val="a0"/>
    <w:rsid w:val="0064502A"/>
  </w:style>
  <w:style w:type="character" w:styleId="a5">
    <w:name w:val="Hyperlink"/>
    <w:uiPriority w:val="99"/>
    <w:rsid w:val="006450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4382</Words>
  <Characters>2499</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2022-10-20T10:28:00Z</cp:lastPrinted>
  <dcterms:created xsi:type="dcterms:W3CDTF">2022-10-20T10:18:00Z</dcterms:created>
  <dcterms:modified xsi:type="dcterms:W3CDTF">2022-10-21T05:59:00Z</dcterms:modified>
</cp:coreProperties>
</file>